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PPAP Checklist — all 18 elements</w:t>
      </w:r>
    </w:p>
    <w:p>
      <w:r>
        <w:rPr>
          <w:b/>
        </w:rPr>
        <w:t xml:space="preserve">Part number / revision: </w:t>
      </w:r>
      <w:r>
        <w:t>_______________________________</w:t>
      </w:r>
    </w:p>
    <w:p>
      <w:r>
        <w:rPr>
          <w:b/>
        </w:rPr>
        <w:t xml:space="preserve">Customer: </w:t>
      </w:r>
      <w:r>
        <w:t>_______________________________</w:t>
      </w:r>
    </w:p>
    <w:p>
      <w:r>
        <w:rPr>
          <w:b/>
        </w:rPr>
        <w:t xml:space="preserve">Submission level: </w:t>
      </w:r>
      <w:r>
        <w:t>_______________________________</w:t>
      </w:r>
    </w:p>
    <w:p>
      <w:r>
        <w:rPr>
          <w:b/>
        </w:rPr>
        <w:t xml:space="preserve">Reason for submission: </w:t>
      </w:r>
      <w:r>
        <w:t>_______________________________</w:t>
      </w:r>
    </w:p>
    <w:p>
      <w:r>
        <w:rPr>
          <w:b/>
        </w:rPr>
        <w:t xml:space="preserve">Prepared by: </w:t>
      </w:r>
      <w:r>
        <w:t>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49"/>
        <w:gridCol w:w="1749"/>
        <w:gridCol w:w="1749"/>
        <w:gridCol w:w="1749"/>
        <w:gridCol w:w="1749"/>
        <w:gridCol w:w="1749"/>
        <w:gridCol w:w="1749"/>
      </w:tblGrid>
      <w:tr>
        <w:tc>
          <w:tcPr>
            <w:tcW w:type="dxa" w:w="1749"/>
          </w:tcPr>
          <w:p>
            <w:r>
              <w:rPr>
                <w:b/>
                <w:sz w:val="17"/>
              </w:rPr>
              <w:t>#</w:t>
            </w:r>
          </w:p>
        </w:tc>
        <w:tc>
          <w:tcPr>
            <w:tcW w:type="dxa" w:w="1749"/>
          </w:tcPr>
          <w:p>
            <w:r>
              <w:rPr>
                <w:b/>
                <w:sz w:val="17"/>
              </w:rPr>
              <w:t>Element</w:t>
            </w:r>
          </w:p>
        </w:tc>
        <w:tc>
          <w:tcPr>
            <w:tcW w:type="dxa" w:w="1749"/>
          </w:tcPr>
          <w:p>
            <w:r>
              <w:rPr>
                <w:b/>
                <w:sz w:val="17"/>
              </w:rPr>
              <w:t>What it must contain</w:t>
            </w:r>
          </w:p>
        </w:tc>
        <w:tc>
          <w:tcPr>
            <w:tcW w:type="dxa" w:w="1749"/>
          </w:tcPr>
          <w:p>
            <w:r>
              <w:rPr>
                <w:b/>
                <w:sz w:val="17"/>
              </w:rPr>
              <w:t>Where it usually fails</w:t>
            </w:r>
          </w:p>
        </w:tc>
        <w:tc>
          <w:tcPr>
            <w:tcW w:type="dxa" w:w="1749"/>
          </w:tcPr>
          <w:p>
            <w:r>
              <w:rPr>
                <w:b/>
                <w:sz w:val="17"/>
              </w:rPr>
              <w:t>Status</w:t>
            </w:r>
          </w:p>
        </w:tc>
        <w:tc>
          <w:tcPr>
            <w:tcW w:type="dxa" w:w="1749"/>
          </w:tcPr>
          <w:p>
            <w:r>
              <w:rPr>
                <w:b/>
                <w:sz w:val="17"/>
              </w:rPr>
              <w:t>Owner</w:t>
            </w:r>
          </w:p>
        </w:tc>
        <w:tc>
          <w:tcPr>
            <w:tcW w:type="dxa" w:w="1749"/>
          </w:tcPr>
          <w:p>
            <w:r>
              <w:rPr>
                <w:b/>
                <w:sz w:val="17"/>
              </w:rPr>
              <w:t>Evidence — where it is</w:t>
            </w:r>
          </w:p>
        </w:tc>
      </w:tr>
      <w:tr>
        <w:tc>
          <w:tcPr>
            <w:tcW w:type="dxa" w:w="1749"/>
          </w:tcPr>
          <w:p>
            <w:r>
              <w:rPr>
                <w:b/>
                <w:sz w:val="16"/>
              </w:rPr>
              <w:t>1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Design records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drawing and specifications at the revision on the purchase order, plus the bill of materials for assemblies.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revision in the file is not the revision on the purchase order.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b/>
                <w:sz w:val="16"/>
              </w:rPr>
              <w:t>2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Authorized engineering change documents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Every change already in the product but not yet on the drawing, with the customer's authorization.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A change is running in production and exists only in an email.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b/>
                <w:sz w:val="16"/>
              </w:rPr>
              <w:t>3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Customer engineering approval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Evidence of approval where the customer requires it — an engineering sign-off or an approved deviation.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Assumed not required, without asking.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b/>
                <w:sz w:val="16"/>
              </w:rPr>
              <w:t>4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Design FMEA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DFMEA for the part, if you are design-responsible.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Left out without explanation. If you are not design-responsible, say so in the file.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b/>
                <w:sz w:val="16"/>
              </w:rPr>
              <w:t>5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Process flow diagram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Every step from receiving to shipping, including inspection, rework and scrap loops.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Shows the intended process rather than the line as it actually runs; rework loops missing.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b/>
                <w:sz w:val="16"/>
              </w:rPr>
              <w:t>6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Process FMEA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One row per step of the flow diagram, with actions for the high-risk failure modes.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Steps do not match the flow diagram; actions never reach the control plan.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b/>
                <w:sz w:val="16"/>
              </w:rPr>
              <w:t>7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Control plan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Every characteristic with its method, sample size and frequency, and a reaction plan for suspect product.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reaction plan reads 'notify supervisor'; PFMEA actions are missing from it.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b/>
                <w:sz w:val="16"/>
              </w:rPr>
              <w:t>8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Measurement system analysis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Gage R&amp;R and other studies for every gauge the control plan names.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study was run on a different gauge from the one the control plan specifies.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b/>
                <w:sz w:val="16"/>
              </w:rPr>
              <w:t>9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Dimensional results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Every characteristic on the drawing measured against its tolerance, for each cavity, mould, die or line.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Balloon numbers do not match the drawing; one cavity measured on a multi-cavity tool.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b/>
                <w:sz w:val="16"/>
              </w:rPr>
              <w:t>10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Material and performance test results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Results against every material and performance requirement on the drawing and specifications.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A material certificate offered instead of results against your own specification.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b/>
                <w:sz w:val="16"/>
              </w:rPr>
              <w:t>11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Initial process studies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Capability (Ppk) for the special characteristics, from a run long enough to mean something.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Too few readings, or parts that were not consecutive.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b/>
                <w:sz w:val="16"/>
              </w:rPr>
              <w:t>12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Qualified laboratory documentation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scope and accreditation of every laboratory that produced results in the file.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An external lab whose accreditation scope does not cover the test that was performed.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b/>
                <w:sz w:val="16"/>
              </w:rPr>
              <w:t>13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Appearance approval report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Colour, grain and texture evaluation for parts with appearance requirements.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Missing where appearance requirements exist, or submitted where they do not.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b/>
                <w:sz w:val="16"/>
              </w:rPr>
              <w:t>14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Sample production parts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Parts made on production tooling, with production gauges, operators and rate.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Parts from prototype tooling or a pre-production cell.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b/>
                <w:sz w:val="16"/>
              </w:rPr>
              <w:t>15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Master sample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A retained sample, identified and signed off, kept for as long as the part is active.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Not retained, or not identified as the master.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b/>
                <w:sz w:val="16"/>
              </w:rPr>
              <w:t>16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Checking aids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Every fixture and gauge used on the part, with calibration and MSA.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A fixture used for inspection that is neither in the MSA nor calibrated.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b/>
                <w:sz w:val="16"/>
              </w:rPr>
              <w:t>17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Customer-specific requirements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Evidence against every requirement in the customer's own supplier manual.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Treated as optional. Every customer adds its own.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b/>
                <w:sz w:val="16"/>
              </w:rPr>
              <w:t>18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Part submission warrant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one-page summary, signed, with every field completed.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Signed before the rest of the file was complete; fields left blank.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2"/>
      </w:pPr>
      <w:r>
        <w:t>The five submission levels — level 3 is the default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080"/>
        <w:gridCol w:w="4080"/>
        <w:gridCol w:w="4080"/>
      </w:tblGrid>
      <w:tr>
        <w:tc>
          <w:tcPr>
            <w:tcW w:type="dxa" w:w="4080"/>
          </w:tcPr>
          <w:p>
            <w:r>
              <w:rPr>
                <w:b/>
                <w:sz w:val="17"/>
              </w:rPr>
              <w:t>Level</w:t>
            </w:r>
          </w:p>
        </w:tc>
        <w:tc>
          <w:tcPr>
            <w:tcW w:type="dxa" w:w="4080"/>
          </w:tcPr>
          <w:p>
            <w:r>
              <w:rPr>
                <w:b/>
                <w:sz w:val="17"/>
              </w:rPr>
              <w:t>What goes to the customer</w:t>
            </w:r>
          </w:p>
        </w:tc>
        <w:tc>
          <w:tcPr>
            <w:tcW w:type="dxa" w:w="4080"/>
          </w:tcPr>
          <w:p>
            <w:r>
              <w:rPr>
                <w:b/>
                <w:sz w:val="17"/>
              </w:rPr>
              <w:t>Typical use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1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Part submission warrant only — plus the appearance approval report for appearance items.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Low-risk parts and repeat business, at the customer's discretion.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2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Warrant with product samples and limited supporting data.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Moderate risk; the customer states which data.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3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Warrant with product samples and complete supporting data.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The default level unless the customer specifies another.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4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Warrant and other requirements as defined by the customer.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Customer-defined combinations.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5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Warrant with product samples and complete supporting data, reviewed at your manufacturing location.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High-risk parts. The customer comes to you.</w:t>
            </w:r>
          </w:p>
        </w:tc>
      </w:tr>
    </w:tbl>
    <w:p/>
    <w:p>
      <w:pPr>
        <w:pStyle w:val="Heading2"/>
      </w:pPr>
      <w:r>
        <w:t>When a new PPAP is required</w:t>
      </w:r>
    </w:p>
    <w:p>
      <w:pPr>
        <w:pStyle w:val="ListBullet"/>
      </w:pPr>
      <w:r>
        <w:t>A new part, or a part new to this customer</w:t>
      </w:r>
    </w:p>
    <w:p>
      <w:pPr>
        <w:pStyle w:val="ListBullet"/>
      </w:pPr>
      <w:r>
        <w:t>Correction of a discrepancy on a previously submitted part</w:t>
      </w:r>
    </w:p>
    <w:p>
      <w:pPr>
        <w:pStyle w:val="ListBullet"/>
      </w:pPr>
      <w:r>
        <w:t>An engineering change to design records, specifications or materials</w:t>
      </w:r>
    </w:p>
    <w:p>
      <w:pPr>
        <w:pStyle w:val="ListBullet"/>
      </w:pPr>
      <w:r>
        <w:t>New, additional or modified tooling (perishable tools excepted)</w:t>
      </w:r>
    </w:p>
    <w:p>
      <w:pPr>
        <w:pStyle w:val="ListBullet"/>
      </w:pPr>
      <w:r>
        <w:t>Tooling or equipment transferred to a different plant or an additional location</w:t>
      </w:r>
    </w:p>
    <w:p>
      <w:pPr>
        <w:pStyle w:val="ListBullet"/>
      </w:pPr>
      <w:r>
        <w:t>A change of source for subcontracted parts, materials or services, such as heat treatment or plating</w:t>
      </w:r>
    </w:p>
    <w:p>
      <w:pPr>
        <w:pStyle w:val="ListBullet"/>
      </w:pPr>
      <w:r>
        <w:t>A change in the manufacturing process or method</w:t>
      </w:r>
    </w:p>
    <w:p>
      <w:pPr>
        <w:pStyle w:val="ListBullet"/>
      </w:pPr>
      <w:r>
        <w:t>Production from tooling inactive for volume production for twelve months or more</w:t>
      </w:r>
    </w:p>
    <w:p>
      <w:pPr>
        <w:pStyle w:val="ListBullet"/>
      </w:pPr>
      <w:r>
        <w:t>A change to a test or inspection method</w:t>
      </w:r>
    </w:p>
    <w:p>
      <w:pPr>
        <w:pStyle w:val="Heading2"/>
      </w:pPr>
      <w:r>
        <w:t>The numbers a reviewer checks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080"/>
        <w:gridCol w:w="4080"/>
        <w:gridCol w:w="4080"/>
      </w:tblGrid>
      <w:tr>
        <w:tc>
          <w:tcPr>
            <w:tcW w:type="dxa" w:w="4080"/>
          </w:tcPr>
          <w:p>
            <w:r>
              <w:rPr>
                <w:b/>
                <w:sz w:val="17"/>
              </w:rPr>
              <w:t>What the reviewer checks</w:t>
            </w:r>
          </w:p>
        </w:tc>
        <w:tc>
          <w:tcPr>
            <w:tcW w:type="dxa" w:w="4080"/>
          </w:tcPr>
          <w:p>
            <w:r>
              <w:rPr>
                <w:b/>
                <w:sz w:val="17"/>
              </w:rPr>
              <w:t>The number</w:t>
            </w:r>
          </w:p>
        </w:tc>
        <w:tc>
          <w:tcPr>
            <w:tcW w:type="dxa" w:w="4080"/>
          </w:tcPr>
          <w:p>
            <w:r>
              <w:rPr>
                <w:b/>
                <w:sz w:val="17"/>
              </w:rPr>
              <w:t>Note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Significant production run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1 to 8 hours of production, at least 300 consecutive parts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Unless the customer specifies otherwise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Initial process study size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At least 25 subgroups and 100 readings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From consecutive parts of the significant run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Ppk — meets acceptance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Greater than 1.67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Ppk — may be acceptable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1.33 to 1.67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Contact the customer before submitting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Ppk — does not meet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Below 1.33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Expect to submit a corrective action plan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Gage R&amp;R — acceptable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Below 10%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Of tolerance or process variation, per AIAG MSA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Gage R&amp;R — may be acceptable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10% to 30%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Depends on the application and the customer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Gage R&amp;R — not acceptable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Above 30%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Record retention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As long as the part is active, plus one calendar year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</w:r>
          </w:p>
        </w:tc>
      </w:tr>
    </w:tbl>
    <w:p>
      <w:r>
        <w:rPr>
          <w:color w:val="9AA0A6"/>
          <w:sz w:val="16"/>
        </w:rPr>
        <w:t>These are the AIAG PPAP and MSA defaults. Your customer's specific requirements override every one of them — read the customer manual before you plan the production run, not after.</w:t>
      </w:r>
    </w:p>
    <w:p>
      <w:r>
        <w:rPr>
          <w:color w:val="9AA0A6"/>
          <w:sz w:val="16"/>
        </w:rPr>
        <w:t>Free PPAP checklist — 5xwhys.com/articles/rca/ppap/  ·  An element is done when its evidence is in the file, not when it is planned</w:t>
      </w:r>
    </w:p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5xWhys.com</dc:creator>
  <cp:keywords/>
  <dc:description/>
  <cp:lastModifiedBy/>
  <cp:revision>1</cp:revision>
  <dcterms:created xsi:type="dcterms:W3CDTF">2026-06-01T00:00:00Z</dcterms:created>
  <dcterms:modified xsi:type="dcterms:W3CDTF">2026-06-01T00:00:00Z</dcterms:modified>
  <cp:category/>
</cp:coreProperties>
</file>