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8D Progress Tracker — D0 to D8</w:t>
      </w:r>
    </w:p>
    <w:p>
      <w:r>
        <w:rPr>
          <w:b/>
        </w:rPr>
        <w:t xml:space="preserve">8D / SCAR number: </w:t>
      </w:r>
      <w:r>
        <w:t>_______________________________</w:t>
      </w:r>
    </w:p>
    <w:p>
      <w:r>
        <w:rPr>
          <w:b/>
        </w:rPr>
        <w:t xml:space="preserve">Customer / part: </w:t>
      </w:r>
      <w:r>
        <w:t>_______________________________</w:t>
      </w:r>
    </w:p>
    <w:p>
      <w:r>
        <w:rPr>
          <w:b/>
        </w:rPr>
        <w:t xml:space="preserve">Complaint received: </w:t>
      </w:r>
      <w:r>
        <w:t>_______________________________</w:t>
      </w:r>
    </w:p>
    <w:p>
      <w:r>
        <w:rPr>
          <w:b/>
        </w:rPr>
        <w:t xml:space="preserve">Champion: </w:t>
      </w:r>
      <w:r>
        <w:t>_______________________________</w:t>
      </w:r>
    </w:p>
    <w:p>
      <w:r>
        <w:rPr>
          <w:b/>
        </w:rPr>
        <w:t xml:space="preserve">Team leader: </w:t>
      </w:r>
      <w:r>
        <w:t>_______________________________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1530"/>
          </w:tcPr>
          <w:p>
            <w:r>
              <w:rPr>
                <w:b/>
                <w:sz w:val="17"/>
              </w:rPr>
              <w:t>D</w:t>
            </w:r>
          </w:p>
        </w:tc>
        <w:tc>
          <w:tcPr>
            <w:tcW w:type="dxa" w:w="1530"/>
          </w:tcPr>
          <w:p>
            <w:r>
              <w:rPr>
                <w:b/>
                <w:sz w:val="17"/>
              </w:rPr>
              <w:t>Discipline</w:t>
            </w:r>
          </w:p>
        </w:tc>
        <w:tc>
          <w:tcPr>
            <w:tcW w:type="dxa" w:w="1530"/>
          </w:tcPr>
          <w:p>
            <w:r>
              <w:rPr>
                <w:b/>
                <w:sz w:val="17"/>
              </w:rPr>
              <w:t>Gate — what must be true before this step is closed</w:t>
            </w:r>
          </w:p>
        </w:tc>
        <w:tc>
          <w:tcPr>
            <w:tcW w:type="dxa" w:w="1530"/>
          </w:tcPr>
          <w:p>
            <w:r>
              <w:rPr>
                <w:b/>
                <w:sz w:val="17"/>
              </w:rPr>
              <w:t>Owner</w:t>
            </w:r>
          </w:p>
        </w:tc>
        <w:tc>
          <w:tcPr>
            <w:tcW w:type="dxa" w:w="1530"/>
          </w:tcPr>
          <w:p>
            <w:r>
              <w:rPr>
                <w:b/>
                <w:sz w:val="17"/>
              </w:rPr>
              <w:t>Due</w:t>
            </w:r>
          </w:p>
        </w:tc>
        <w:tc>
          <w:tcPr>
            <w:tcW w:type="dxa" w:w="1530"/>
          </w:tcPr>
          <w:p>
            <w:r>
              <w:rPr>
                <w:b/>
                <w:sz w:val="17"/>
              </w:rPr>
              <w:t>Status</w:t>
            </w:r>
          </w:p>
        </w:tc>
        <w:tc>
          <w:tcPr>
            <w:tcW w:type="dxa" w:w="1530"/>
          </w:tcPr>
          <w:p>
            <w:r>
              <w:rPr>
                <w:b/>
                <w:sz w:val="17"/>
              </w:rPr>
              <w:t>Evidence — where it is</w:t>
            </w:r>
          </w:p>
        </w:tc>
        <w:tc>
          <w:tcPr>
            <w:tcW w:type="dxa" w:w="1530"/>
          </w:tcPr>
          <w:p>
            <w:r>
              <w:rPr>
                <w:b/>
                <w:sz w:val="17"/>
              </w:rPr>
              <w:t>Closed on</w:t>
            </w:r>
          </w:p>
        </w:tc>
      </w:tr>
      <w:tr>
        <w:tc>
          <w:tcPr>
            <w:tcW w:type="dxa" w:w="1530"/>
          </w:tcPr>
          <w:p>
            <w:r>
              <w:rPr>
                <w:b/>
                <w:sz w:val="16"/>
              </w:rPr>
              <w:t>D0</w:t>
            </w:r>
          </w:p>
        </w:tc>
        <w:tc>
          <w:tcPr>
            <w:tcW w:type="dxa" w:w="1530"/>
          </w:tcPr>
          <w:p>
            <w:r>
              <w:rPr>
                <w:b/>
                <w:sz w:val="16"/>
              </w:rPr>
              <w:t>Preparation &amp; emergency response</w:t>
            </w:r>
          </w:p>
        </w:tc>
        <w:tc>
          <w:tcPr>
            <w:tcW w:type="dxa" w:w="1530"/>
          </w:tcPr>
          <w:p>
            <w:r>
              <w:rPr>
                <w:sz w:val="16"/>
              </w:rPr>
              <w:t>Emergency action taken and logged, the symptom written down as the customer reported it, and the applicability check made — is this an 8D, or a lighter corrective action?</w:t>
            </w:r>
          </w:p>
        </w:tc>
        <w:tc>
          <w:tcPr>
            <w:tcW w:type="dxa" w:w="1530"/>
          </w:tcPr>
          <w:p>
            <w:r>
              <w:rPr>
                <w:sz w:val="16"/>
              </w:rPr>
            </w:r>
          </w:p>
        </w:tc>
        <w:tc>
          <w:tcPr>
            <w:tcW w:type="dxa" w:w="1530"/>
          </w:tcPr>
          <w:p>
            <w:r>
              <w:rPr>
                <w:sz w:val="16"/>
              </w:rPr>
            </w:r>
          </w:p>
        </w:tc>
        <w:tc>
          <w:tcPr>
            <w:tcW w:type="dxa" w:w="1530"/>
          </w:tcPr>
          <w:p>
            <w:r>
              <w:rPr>
                <w:sz w:val="16"/>
              </w:rPr>
            </w:r>
          </w:p>
        </w:tc>
        <w:tc>
          <w:tcPr>
            <w:tcW w:type="dxa" w:w="1530"/>
          </w:tcPr>
          <w:p>
            <w:r>
              <w:rPr>
                <w:sz w:val="16"/>
              </w:rPr>
            </w:r>
          </w:p>
        </w:tc>
        <w:tc>
          <w:tcPr>
            <w:tcW w:type="dxa" w:w="1530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530"/>
          </w:tcPr>
          <w:p>
            <w:r>
              <w:rPr>
                <w:b/>
                <w:sz w:val="16"/>
              </w:rPr>
              <w:t>D1</w:t>
            </w:r>
          </w:p>
        </w:tc>
        <w:tc>
          <w:tcPr>
            <w:tcW w:type="dxa" w:w="1530"/>
          </w:tcPr>
          <w:p>
            <w:r>
              <w:rPr>
                <w:b/>
                <w:sz w:val="16"/>
              </w:rPr>
              <w:t>Form the team</w:t>
            </w:r>
          </w:p>
        </w:tc>
        <w:tc>
          <w:tcPr>
            <w:tcW w:type="dxa" w:w="1530"/>
          </w:tcPr>
          <w:p>
            <w:r>
              <w:rPr>
                <w:sz w:val="16"/>
              </w:rPr>
              <w:t>Three to seven cross-functional members, a single named champion, at least one person with authority to commit resources, and time explicitly allocated — not an evening side-project.</w:t>
            </w:r>
          </w:p>
        </w:tc>
        <w:tc>
          <w:tcPr>
            <w:tcW w:type="dxa" w:w="1530"/>
          </w:tcPr>
          <w:p>
            <w:r>
              <w:rPr>
                <w:sz w:val="16"/>
              </w:rPr>
            </w:r>
          </w:p>
        </w:tc>
        <w:tc>
          <w:tcPr>
            <w:tcW w:type="dxa" w:w="1530"/>
          </w:tcPr>
          <w:p>
            <w:r>
              <w:rPr>
                <w:sz w:val="16"/>
              </w:rPr>
            </w:r>
          </w:p>
        </w:tc>
        <w:tc>
          <w:tcPr>
            <w:tcW w:type="dxa" w:w="1530"/>
          </w:tcPr>
          <w:p>
            <w:r>
              <w:rPr>
                <w:sz w:val="16"/>
              </w:rPr>
            </w:r>
          </w:p>
        </w:tc>
        <w:tc>
          <w:tcPr>
            <w:tcW w:type="dxa" w:w="1530"/>
          </w:tcPr>
          <w:p>
            <w:r>
              <w:rPr>
                <w:sz w:val="16"/>
              </w:rPr>
            </w:r>
          </w:p>
        </w:tc>
        <w:tc>
          <w:tcPr>
            <w:tcW w:type="dxa" w:w="1530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530"/>
          </w:tcPr>
          <w:p>
            <w:r>
              <w:rPr>
                <w:b/>
                <w:sz w:val="16"/>
              </w:rPr>
              <w:t>D2</w:t>
            </w:r>
          </w:p>
        </w:tc>
        <w:tc>
          <w:tcPr>
            <w:tcW w:type="dxa" w:w="1530"/>
          </w:tcPr>
          <w:p>
            <w:r>
              <w:rPr>
                <w:b/>
                <w:sz w:val="16"/>
              </w:rPr>
              <w:t>Describe the problem</w:t>
            </w:r>
          </w:p>
        </w:tc>
        <w:tc>
          <w:tcPr>
            <w:tcW w:type="dxa" w:w="1530"/>
          </w:tcPr>
          <w:p>
            <w:r>
              <w:rPr>
                <w:sz w:val="16"/>
              </w:rPr>
              <w:t>A fact-based statement built from Is / Is-Not and 5W2H: what, where, when, how many, measure against target. No cause, no blame, and anything unevidenced flagged rather than guessed.</w:t>
            </w:r>
          </w:p>
        </w:tc>
        <w:tc>
          <w:tcPr>
            <w:tcW w:type="dxa" w:w="1530"/>
          </w:tcPr>
          <w:p>
            <w:r>
              <w:rPr>
                <w:sz w:val="16"/>
              </w:rPr>
            </w:r>
          </w:p>
        </w:tc>
        <w:tc>
          <w:tcPr>
            <w:tcW w:type="dxa" w:w="1530"/>
          </w:tcPr>
          <w:p>
            <w:r>
              <w:rPr>
                <w:sz w:val="16"/>
              </w:rPr>
            </w:r>
          </w:p>
        </w:tc>
        <w:tc>
          <w:tcPr>
            <w:tcW w:type="dxa" w:w="1530"/>
          </w:tcPr>
          <w:p>
            <w:r>
              <w:rPr>
                <w:sz w:val="16"/>
              </w:rPr>
            </w:r>
          </w:p>
        </w:tc>
        <w:tc>
          <w:tcPr>
            <w:tcW w:type="dxa" w:w="1530"/>
          </w:tcPr>
          <w:p>
            <w:r>
              <w:rPr>
                <w:sz w:val="16"/>
              </w:rPr>
            </w:r>
          </w:p>
        </w:tc>
        <w:tc>
          <w:tcPr>
            <w:tcW w:type="dxa" w:w="1530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530"/>
          </w:tcPr>
          <w:p>
            <w:r>
              <w:rPr>
                <w:b/>
                <w:sz w:val="16"/>
              </w:rPr>
              <w:t>D3</w:t>
            </w:r>
          </w:p>
        </w:tc>
        <w:tc>
          <w:tcPr>
            <w:tcW w:type="dxa" w:w="1530"/>
          </w:tcPr>
          <w:p>
            <w:r>
              <w:rPr>
                <w:b/>
                <w:sz w:val="16"/>
              </w:rPr>
              <w:t>Interim containment</w:t>
            </w:r>
          </w:p>
        </w:tc>
        <w:tc>
          <w:tcPr>
            <w:tcW w:type="dxa" w:w="1530"/>
          </w:tcPr>
          <w:p>
            <w:r>
              <w:rPr>
                <w:sz w:val="16"/>
              </w:rPr>
              <w:t>The customer is protected within 24-48 h. Containment action, its effectiveness (%) and the start date are recorded; the removal date stays open until D6 says otherwise.</w:t>
            </w:r>
          </w:p>
        </w:tc>
        <w:tc>
          <w:tcPr>
            <w:tcW w:type="dxa" w:w="1530"/>
          </w:tcPr>
          <w:p>
            <w:r>
              <w:rPr>
                <w:sz w:val="16"/>
              </w:rPr>
            </w:r>
          </w:p>
        </w:tc>
        <w:tc>
          <w:tcPr>
            <w:tcW w:type="dxa" w:w="1530"/>
          </w:tcPr>
          <w:p>
            <w:r>
              <w:rPr>
                <w:sz w:val="16"/>
              </w:rPr>
            </w:r>
          </w:p>
        </w:tc>
        <w:tc>
          <w:tcPr>
            <w:tcW w:type="dxa" w:w="1530"/>
          </w:tcPr>
          <w:p>
            <w:r>
              <w:rPr>
                <w:sz w:val="16"/>
              </w:rPr>
            </w:r>
          </w:p>
        </w:tc>
        <w:tc>
          <w:tcPr>
            <w:tcW w:type="dxa" w:w="1530"/>
          </w:tcPr>
          <w:p>
            <w:r>
              <w:rPr>
                <w:sz w:val="16"/>
              </w:rPr>
            </w:r>
          </w:p>
        </w:tc>
        <w:tc>
          <w:tcPr>
            <w:tcW w:type="dxa" w:w="1530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530"/>
          </w:tcPr>
          <w:p>
            <w:r>
              <w:rPr>
                <w:b/>
                <w:sz w:val="16"/>
              </w:rPr>
              <w:t>D4</w:t>
            </w:r>
          </w:p>
        </w:tc>
        <w:tc>
          <w:tcPr>
            <w:tcW w:type="dxa" w:w="1530"/>
          </w:tcPr>
          <w:p>
            <w:r>
              <w:rPr>
                <w:b/>
                <w:sz w:val="16"/>
              </w:rPr>
              <w:t>Root cause analysis</w:t>
            </w:r>
          </w:p>
        </w:tc>
        <w:tc>
          <w:tcPr>
            <w:tcW w:type="dxa" w:w="1530"/>
          </w:tcPr>
          <w:p>
            <w:r>
              <w:rPr>
                <w:sz w:val="16"/>
              </w:rPr>
              <w:t>TWO verified causes — occurrence and escape — each with its own evidence. If the escape cause reads 'the inspector missed it', the chain stopped one why too early.</w:t>
            </w:r>
          </w:p>
        </w:tc>
        <w:tc>
          <w:tcPr>
            <w:tcW w:type="dxa" w:w="1530"/>
          </w:tcPr>
          <w:p>
            <w:r>
              <w:rPr>
                <w:sz w:val="16"/>
              </w:rPr>
            </w:r>
          </w:p>
        </w:tc>
        <w:tc>
          <w:tcPr>
            <w:tcW w:type="dxa" w:w="1530"/>
          </w:tcPr>
          <w:p>
            <w:r>
              <w:rPr>
                <w:sz w:val="16"/>
              </w:rPr>
            </w:r>
          </w:p>
        </w:tc>
        <w:tc>
          <w:tcPr>
            <w:tcW w:type="dxa" w:w="1530"/>
          </w:tcPr>
          <w:p>
            <w:r>
              <w:rPr>
                <w:sz w:val="16"/>
              </w:rPr>
            </w:r>
          </w:p>
        </w:tc>
        <w:tc>
          <w:tcPr>
            <w:tcW w:type="dxa" w:w="1530"/>
          </w:tcPr>
          <w:p>
            <w:r>
              <w:rPr>
                <w:sz w:val="16"/>
              </w:rPr>
            </w:r>
          </w:p>
        </w:tc>
        <w:tc>
          <w:tcPr>
            <w:tcW w:type="dxa" w:w="1530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530"/>
          </w:tcPr>
          <w:p>
            <w:r>
              <w:rPr>
                <w:b/>
                <w:sz w:val="16"/>
              </w:rPr>
              <w:t>D5</w:t>
            </w:r>
          </w:p>
        </w:tc>
        <w:tc>
          <w:tcPr>
            <w:tcW w:type="dxa" w:w="1530"/>
          </w:tcPr>
          <w:p>
            <w:r>
              <w:rPr>
                <w:b/>
                <w:sz w:val="16"/>
              </w:rPr>
              <w:t>Permanent corrective actions</w:t>
            </w:r>
          </w:p>
        </w:tc>
        <w:tc>
          <w:tcPr>
            <w:tcW w:type="dxa" w:w="1530"/>
          </w:tcPr>
          <w:p>
            <w:r>
              <w:rPr>
                <w:sz w:val="16"/>
              </w:rPr>
              <w:t>One action per root cause, taken as high in the hierarchy as is feasible (eliminate &gt; substitute &gt; engineering control &gt; administrative), plus the verification method chosen BEFORE implementation. 'Re-train the operator' is challenged, not accepted.</w:t>
            </w:r>
          </w:p>
        </w:tc>
        <w:tc>
          <w:tcPr>
            <w:tcW w:type="dxa" w:w="1530"/>
          </w:tcPr>
          <w:p>
            <w:r>
              <w:rPr>
                <w:sz w:val="16"/>
              </w:rPr>
            </w:r>
          </w:p>
        </w:tc>
        <w:tc>
          <w:tcPr>
            <w:tcW w:type="dxa" w:w="1530"/>
          </w:tcPr>
          <w:p>
            <w:r>
              <w:rPr>
                <w:sz w:val="16"/>
              </w:rPr>
            </w:r>
          </w:p>
        </w:tc>
        <w:tc>
          <w:tcPr>
            <w:tcW w:type="dxa" w:w="1530"/>
          </w:tcPr>
          <w:p>
            <w:r>
              <w:rPr>
                <w:sz w:val="16"/>
              </w:rPr>
            </w:r>
          </w:p>
        </w:tc>
        <w:tc>
          <w:tcPr>
            <w:tcW w:type="dxa" w:w="1530"/>
          </w:tcPr>
          <w:p>
            <w:r>
              <w:rPr>
                <w:sz w:val="16"/>
              </w:rPr>
            </w:r>
          </w:p>
        </w:tc>
        <w:tc>
          <w:tcPr>
            <w:tcW w:type="dxa" w:w="1530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530"/>
          </w:tcPr>
          <w:p>
            <w:r>
              <w:rPr>
                <w:b/>
                <w:sz w:val="16"/>
              </w:rPr>
              <w:t>D6</w:t>
            </w:r>
          </w:p>
        </w:tc>
        <w:tc>
          <w:tcPr>
            <w:tcW w:type="dxa" w:w="1530"/>
          </w:tcPr>
          <w:p>
            <w:r>
              <w:rPr>
                <w:b/>
                <w:sz w:val="16"/>
              </w:rPr>
              <w:t>Implement &amp; validate</w:t>
            </w:r>
          </w:p>
        </w:tc>
        <w:tc>
          <w:tcPr>
            <w:tcW w:type="dxa" w:w="1530"/>
          </w:tcPr>
          <w:p>
            <w:r>
              <w:rPr>
                <w:sz w:val="16"/>
              </w:rPr>
              <w:t>Actions deployed and effectiveness shown with before/after data over the monitoring period (automotive: typically 30 consecutive clean days). Containment removed only after that. If the defect returns you are in D4 again, not in D6.</w:t>
            </w:r>
          </w:p>
        </w:tc>
        <w:tc>
          <w:tcPr>
            <w:tcW w:type="dxa" w:w="1530"/>
          </w:tcPr>
          <w:p>
            <w:r>
              <w:rPr>
                <w:sz w:val="16"/>
              </w:rPr>
            </w:r>
          </w:p>
        </w:tc>
        <w:tc>
          <w:tcPr>
            <w:tcW w:type="dxa" w:w="1530"/>
          </w:tcPr>
          <w:p>
            <w:r>
              <w:rPr>
                <w:sz w:val="16"/>
              </w:rPr>
            </w:r>
          </w:p>
        </w:tc>
        <w:tc>
          <w:tcPr>
            <w:tcW w:type="dxa" w:w="1530"/>
          </w:tcPr>
          <w:p>
            <w:r>
              <w:rPr>
                <w:sz w:val="16"/>
              </w:rPr>
            </w:r>
          </w:p>
        </w:tc>
        <w:tc>
          <w:tcPr>
            <w:tcW w:type="dxa" w:w="1530"/>
          </w:tcPr>
          <w:p>
            <w:r>
              <w:rPr>
                <w:sz w:val="16"/>
              </w:rPr>
            </w:r>
          </w:p>
        </w:tc>
        <w:tc>
          <w:tcPr>
            <w:tcW w:type="dxa" w:w="1530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530"/>
          </w:tcPr>
          <w:p>
            <w:r>
              <w:rPr>
                <w:b/>
                <w:sz w:val="16"/>
              </w:rPr>
              <w:t>D7</w:t>
            </w:r>
          </w:p>
        </w:tc>
        <w:tc>
          <w:tcPr>
            <w:tcW w:type="dxa" w:w="1530"/>
          </w:tcPr>
          <w:p>
            <w:r>
              <w:rPr>
                <w:b/>
                <w:sz w:val="16"/>
              </w:rPr>
              <w:t>Prevent recurrence</w:t>
            </w:r>
          </w:p>
        </w:tc>
        <w:tc>
          <w:tcPr>
            <w:tcW w:type="dxa" w:w="1530"/>
          </w:tcPr>
          <w:p>
            <w:r>
              <w:rPr>
                <w:sz w:val="16"/>
              </w:rPr>
              <w:t>PFMEA and control plan updated, work instructions revised and re-trained, similar products, lines and plants checked, lesson recorded. Named artefacts with dates — not intentions.</w:t>
            </w:r>
          </w:p>
        </w:tc>
        <w:tc>
          <w:tcPr>
            <w:tcW w:type="dxa" w:w="1530"/>
          </w:tcPr>
          <w:p>
            <w:r>
              <w:rPr>
                <w:sz w:val="16"/>
              </w:rPr>
            </w:r>
          </w:p>
        </w:tc>
        <w:tc>
          <w:tcPr>
            <w:tcW w:type="dxa" w:w="1530"/>
          </w:tcPr>
          <w:p>
            <w:r>
              <w:rPr>
                <w:sz w:val="16"/>
              </w:rPr>
            </w:r>
          </w:p>
        </w:tc>
        <w:tc>
          <w:tcPr>
            <w:tcW w:type="dxa" w:w="1530"/>
          </w:tcPr>
          <w:p>
            <w:r>
              <w:rPr>
                <w:sz w:val="16"/>
              </w:rPr>
            </w:r>
          </w:p>
        </w:tc>
        <w:tc>
          <w:tcPr>
            <w:tcW w:type="dxa" w:w="1530"/>
          </w:tcPr>
          <w:p>
            <w:r>
              <w:rPr>
                <w:sz w:val="16"/>
              </w:rPr>
            </w:r>
          </w:p>
        </w:tc>
        <w:tc>
          <w:tcPr>
            <w:tcW w:type="dxa" w:w="1530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530"/>
          </w:tcPr>
          <w:p>
            <w:r>
              <w:rPr>
                <w:b/>
                <w:sz w:val="16"/>
              </w:rPr>
              <w:t>D8</w:t>
            </w:r>
          </w:p>
        </w:tc>
        <w:tc>
          <w:tcPr>
            <w:tcW w:type="dxa" w:w="1530"/>
          </w:tcPr>
          <w:p>
            <w:r>
              <w:rPr>
                <w:b/>
                <w:sz w:val="16"/>
              </w:rPr>
              <w:t>Recognition &amp; closure</w:t>
            </w:r>
          </w:p>
        </w:tc>
        <w:tc>
          <w:tcPr>
            <w:tcW w:type="dxa" w:w="1530"/>
          </w:tcPr>
          <w:p>
            <w:r>
              <w:rPr>
                <w:sz w:val="16"/>
              </w:rPr>
              <w:t>Lessons learned captured before the team disbands, the team recognised, report signed off and filed against the customer's SCAR number.</w:t>
            </w:r>
          </w:p>
        </w:tc>
        <w:tc>
          <w:tcPr>
            <w:tcW w:type="dxa" w:w="1530"/>
          </w:tcPr>
          <w:p>
            <w:r>
              <w:rPr>
                <w:sz w:val="16"/>
              </w:rPr>
            </w:r>
          </w:p>
        </w:tc>
        <w:tc>
          <w:tcPr>
            <w:tcW w:type="dxa" w:w="1530"/>
          </w:tcPr>
          <w:p>
            <w:r>
              <w:rPr>
                <w:sz w:val="16"/>
              </w:rPr>
            </w:r>
          </w:p>
        </w:tc>
        <w:tc>
          <w:tcPr>
            <w:tcW w:type="dxa" w:w="1530"/>
          </w:tcPr>
          <w:p>
            <w:r>
              <w:rPr>
                <w:sz w:val="16"/>
              </w:rPr>
            </w:r>
          </w:p>
        </w:tc>
        <w:tc>
          <w:tcPr>
            <w:tcW w:type="dxa" w:w="1530"/>
          </w:tcPr>
          <w:p>
            <w:r>
              <w:rPr>
                <w:sz w:val="16"/>
              </w:rPr>
            </w:r>
          </w:p>
        </w:tc>
        <w:tc>
          <w:tcPr>
            <w:tcW w:type="dxa" w:w="1530"/>
          </w:tcPr>
          <w:p>
            <w:r>
              <w:rPr>
                <w:sz w:val="16"/>
              </w:rPr>
            </w:r>
          </w:p>
        </w:tc>
      </w:tr>
    </w:tbl>
    <w:p/>
    <w:p>
      <w:pPr>
        <w:pStyle w:val="Heading2"/>
      </w:pPr>
      <w:r>
        <w:t>The customer clock — what is due when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60"/>
        <w:gridCol w:w="3060"/>
        <w:gridCol w:w="3060"/>
        <w:gridCol w:w="3060"/>
      </w:tblGrid>
      <w:tr>
        <w:tc>
          <w:tcPr>
            <w:tcW w:type="dxa" w:w="3060"/>
          </w:tcPr>
          <w:p>
            <w:r>
              <w:rPr>
                <w:b/>
                <w:sz w:val="17"/>
              </w:rPr>
              <w:t>Milestone</w:t>
            </w:r>
          </w:p>
        </w:tc>
        <w:tc>
          <w:tcPr>
            <w:tcW w:type="dxa" w:w="3060"/>
          </w:tcPr>
          <w:p>
            <w:r>
              <w:rPr>
                <w:b/>
                <w:sz w:val="17"/>
              </w:rPr>
              <w:t>Common customer expectation</w:t>
            </w:r>
          </w:p>
        </w:tc>
        <w:tc>
          <w:tcPr>
            <w:tcW w:type="dxa" w:w="3060"/>
          </w:tcPr>
          <w:p>
            <w:r>
              <w:rPr>
                <w:b/>
                <w:sz w:val="17"/>
              </w:rPr>
              <w:t>Your date</w:t>
            </w:r>
          </w:p>
        </w:tc>
        <w:tc>
          <w:tcPr>
            <w:tcW w:type="dxa" w:w="3060"/>
          </w:tcPr>
          <w:p>
            <w:r>
              <w:rPr>
                <w:b/>
                <w:sz w:val="17"/>
              </w:rPr>
              <w:t>Met?</w:t>
            </w:r>
          </w:p>
        </w:tc>
      </w:tr>
      <w:tr>
        <w:tc>
          <w:tcPr>
            <w:tcW w:type="dxa" w:w="3060"/>
          </w:tcPr>
          <w:p>
            <w:r>
              <w:rPr>
                <w:b/>
                <w:sz w:val="16"/>
              </w:rPr>
              <w:t>Complaint received</w:t>
            </w:r>
          </w:p>
        </w:tc>
        <w:tc>
          <w:tcPr>
            <w:tcW w:type="dxa" w:w="3060"/>
          </w:tcPr>
          <w:p>
            <w:r>
              <w:rPr>
                <w:sz w:val="16"/>
              </w:rPr>
              <w:t>Day 0 — the clock starts when it lands, not when you open the file</w:t>
            </w:r>
          </w:p>
        </w:tc>
        <w:tc>
          <w:tcPr>
            <w:tcW w:type="dxa" w:w="3060"/>
          </w:tcPr>
          <w:p>
            <w:r>
              <w:rPr>
                <w:sz w:val="16"/>
              </w:rPr>
            </w:r>
          </w:p>
        </w:tc>
        <w:tc>
          <w:tcPr>
            <w:tcW w:type="dxa" w:w="3060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060"/>
          </w:tcPr>
          <w:p>
            <w:r>
              <w:rPr>
                <w:b/>
                <w:sz w:val="16"/>
              </w:rPr>
              <w:t>D3 containment in place</w:t>
            </w:r>
          </w:p>
        </w:tc>
        <w:tc>
          <w:tcPr>
            <w:tcW w:type="dxa" w:w="3060"/>
          </w:tcPr>
          <w:p>
            <w:r>
              <w:rPr>
                <w:sz w:val="16"/>
              </w:rPr>
              <w:t>24-48 hours</w:t>
            </w:r>
          </w:p>
        </w:tc>
        <w:tc>
          <w:tcPr>
            <w:tcW w:type="dxa" w:w="3060"/>
          </w:tcPr>
          <w:p>
            <w:r>
              <w:rPr>
                <w:sz w:val="16"/>
              </w:rPr>
            </w:r>
          </w:p>
        </w:tc>
        <w:tc>
          <w:tcPr>
            <w:tcW w:type="dxa" w:w="3060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060"/>
          </w:tcPr>
          <w:p>
            <w:r>
              <w:rPr>
                <w:b/>
                <w:sz w:val="16"/>
              </w:rPr>
              <w:t>Interim 8D submitted</w:t>
            </w:r>
          </w:p>
        </w:tc>
        <w:tc>
          <w:tcPr>
            <w:tcW w:type="dxa" w:w="3060"/>
          </w:tcPr>
          <w:p>
            <w:r>
              <w:rPr>
                <w:sz w:val="16"/>
              </w:rPr>
              <w:t>Often 10 working days</w:t>
            </w:r>
          </w:p>
        </w:tc>
        <w:tc>
          <w:tcPr>
            <w:tcW w:type="dxa" w:w="3060"/>
          </w:tcPr>
          <w:p>
            <w:r>
              <w:rPr>
                <w:sz w:val="16"/>
              </w:rPr>
            </w:r>
          </w:p>
        </w:tc>
        <w:tc>
          <w:tcPr>
            <w:tcW w:type="dxa" w:w="3060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060"/>
          </w:tcPr>
          <w:p>
            <w:r>
              <w:rPr>
                <w:b/>
                <w:sz w:val="16"/>
              </w:rPr>
              <w:t>D6 monitoring period</w:t>
            </w:r>
          </w:p>
        </w:tc>
        <w:tc>
          <w:tcPr>
            <w:tcW w:type="dxa" w:w="3060"/>
          </w:tcPr>
          <w:p>
            <w:r>
              <w:rPr>
                <w:sz w:val="16"/>
              </w:rPr>
              <w:t>Typically 30 consecutive days of clean production</w:t>
            </w:r>
          </w:p>
        </w:tc>
        <w:tc>
          <w:tcPr>
            <w:tcW w:type="dxa" w:w="3060"/>
          </w:tcPr>
          <w:p>
            <w:r>
              <w:rPr>
                <w:sz w:val="16"/>
              </w:rPr>
            </w:r>
          </w:p>
        </w:tc>
        <w:tc>
          <w:tcPr>
            <w:tcW w:type="dxa" w:w="3060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060"/>
          </w:tcPr>
          <w:p>
            <w:r>
              <w:rPr>
                <w:b/>
                <w:sz w:val="16"/>
              </w:rPr>
              <w:t>Containment removed</w:t>
            </w:r>
          </w:p>
        </w:tc>
        <w:tc>
          <w:tcPr>
            <w:tcW w:type="dxa" w:w="3060"/>
          </w:tcPr>
          <w:p>
            <w:r>
              <w:rPr>
                <w:sz w:val="16"/>
              </w:rPr>
              <w:t>After D6 confirms, never before</w:t>
            </w:r>
          </w:p>
        </w:tc>
        <w:tc>
          <w:tcPr>
            <w:tcW w:type="dxa" w:w="3060"/>
          </w:tcPr>
          <w:p>
            <w:r>
              <w:rPr>
                <w:sz w:val="16"/>
              </w:rPr>
            </w:r>
          </w:p>
        </w:tc>
        <w:tc>
          <w:tcPr>
            <w:tcW w:type="dxa" w:w="3060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060"/>
          </w:tcPr>
          <w:p>
            <w:r>
              <w:rPr>
                <w:b/>
                <w:sz w:val="16"/>
              </w:rPr>
              <w:t>Final 8D closed</w:t>
            </w:r>
          </w:p>
        </w:tc>
        <w:tc>
          <w:tcPr>
            <w:tcW w:type="dxa" w:w="3060"/>
          </w:tcPr>
          <w:p>
            <w:r>
              <w:rPr>
                <w:sz w:val="16"/>
              </w:rPr>
              <w:t>Typically 30-60 days from the complaint</w:t>
            </w:r>
          </w:p>
        </w:tc>
        <w:tc>
          <w:tcPr>
            <w:tcW w:type="dxa" w:w="3060"/>
          </w:tcPr>
          <w:p>
            <w:r>
              <w:rPr>
                <w:sz w:val="16"/>
              </w:rPr>
            </w:r>
          </w:p>
        </w:tc>
        <w:tc>
          <w:tcPr>
            <w:tcW w:type="dxa" w:w="3060"/>
          </w:tcPr>
          <w:p>
            <w:r>
              <w:rPr>
                <w:sz w:val="16"/>
              </w:rPr>
            </w:r>
          </w:p>
        </w:tc>
      </w:tr>
    </w:tbl>
    <w:p>
      <w:r>
        <w:rPr>
          <w:color w:val="9AA0A6"/>
          <w:sz w:val="16"/>
        </w:rPr>
        <w:t>These are the intervals most commonly written into automotive and aerospace supplier requirements. They are not a standard: your contract, customer portal or SCAR letter sets the actual clock. Enter your own dates first, then work backwards from the closure date.</w:t>
      </w:r>
    </w:p>
    <w:p>
      <w:r>
        <w:rPr>
          <w:color w:val="9AA0A6"/>
          <w:sz w:val="16"/>
        </w:rPr>
        <w:t>Free 8D progress tracker — 5xwhys.com/articles/8d/guide/  ·  A gate is not closed because the box is filled in; it is closed because the evidence next to it exists</w:t>
      </w:r>
    </w:p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5xWhys.com</dc:creator>
  <cp:keywords/>
  <dc:description/>
  <cp:lastModifiedBy/>
  <cp:revision>1</cp:revision>
  <dcterms:created xsi:type="dcterms:W3CDTF">2026-06-01T00:00:00Z</dcterms:created>
  <dcterms:modified xsi:type="dcterms:W3CDTF">2026-06-01T00:00:00Z</dcterms:modified>
  <cp:category/>
</cp:coreProperties>
</file>